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3C4CB" w14:textId="46AB3687" w:rsidR="0023228C" w:rsidRDefault="00C113C9" w:rsidP="00011AC8">
      <w:pPr>
        <w:jc w:val="center"/>
      </w:pPr>
      <w:r>
        <w:rPr>
          <w:noProof/>
        </w:rPr>
        <w:drawing>
          <wp:inline distT="0" distB="0" distL="0" distR="0" wp14:anchorId="3157AC70" wp14:editId="0D192C66">
            <wp:extent cx="3152775" cy="1130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S_Logo_Horiz-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4152" cy="1134835"/>
                    </a:xfrm>
                    <a:prstGeom prst="rect">
                      <a:avLst/>
                    </a:prstGeom>
                  </pic:spPr>
                </pic:pic>
              </a:graphicData>
            </a:graphic>
          </wp:inline>
        </w:drawing>
      </w:r>
    </w:p>
    <w:p w14:paraId="239E98A6" w14:textId="77777777" w:rsidR="00011AC8" w:rsidRDefault="00011AC8" w:rsidP="00011AC8">
      <w:pPr>
        <w:jc w:val="center"/>
      </w:pPr>
      <w:bookmarkStart w:id="0" w:name="_GoBack"/>
      <w:bookmarkEnd w:id="0"/>
    </w:p>
    <w:p w14:paraId="1652E110" w14:textId="77777777" w:rsidR="00B47BE9" w:rsidRDefault="00B47BE9" w:rsidP="00011AC8">
      <w:pPr>
        <w:jc w:val="center"/>
      </w:pPr>
    </w:p>
    <w:p w14:paraId="0490E49A" w14:textId="77777777" w:rsidR="00011AC8" w:rsidRPr="00B47BE9" w:rsidRDefault="0022443F" w:rsidP="00011AC8">
      <w:pPr>
        <w:jc w:val="center"/>
        <w:rPr>
          <w:sz w:val="40"/>
          <w:szCs w:val="40"/>
        </w:rPr>
      </w:pPr>
      <w:r>
        <w:rPr>
          <w:rFonts w:ascii="inherit" w:eastAsia="Times New Roman" w:hAnsi="inherit" w:cs="Arial"/>
          <w:b/>
          <w:bCs/>
          <w:color w:val="555555"/>
          <w:sz w:val="40"/>
          <w:szCs w:val="40"/>
        </w:rPr>
        <w:t>Tax Brackets and Rates</w:t>
      </w:r>
      <w:r w:rsidR="00B47BE9" w:rsidRPr="00011AC8">
        <w:rPr>
          <w:rFonts w:ascii="inherit" w:eastAsia="Times New Roman" w:hAnsi="inherit" w:cs="Arial"/>
          <w:b/>
          <w:bCs/>
          <w:color w:val="555555"/>
          <w:sz w:val="40"/>
          <w:szCs w:val="40"/>
        </w:rPr>
        <w:t xml:space="preserve"> 2019</w:t>
      </w:r>
    </w:p>
    <w:tbl>
      <w:tblPr>
        <w:tblW w:w="0" w:type="auto"/>
        <w:shd w:val="clear" w:color="auto" w:fill="FEFEFE"/>
        <w:tblCellMar>
          <w:left w:w="0" w:type="dxa"/>
          <w:right w:w="0" w:type="dxa"/>
        </w:tblCellMar>
        <w:tblLook w:val="04A0" w:firstRow="1" w:lastRow="0" w:firstColumn="1" w:lastColumn="0" w:noHBand="0" w:noVBand="1"/>
      </w:tblPr>
      <w:tblGrid>
        <w:gridCol w:w="547"/>
        <w:gridCol w:w="2746"/>
        <w:gridCol w:w="3365"/>
        <w:gridCol w:w="2686"/>
      </w:tblGrid>
      <w:tr w:rsidR="00011AC8" w:rsidRPr="00011AC8" w14:paraId="696B7A83" w14:textId="77777777" w:rsidTr="00011AC8">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EFEFE"/>
            <w:vAlign w:val="center"/>
            <w:hideMark/>
          </w:tcPr>
          <w:p w14:paraId="459EADDA" w14:textId="77777777" w:rsidR="00011AC8" w:rsidRPr="00011AC8" w:rsidRDefault="00011AC8" w:rsidP="00011AC8">
            <w:pPr>
              <w:spacing w:after="0" w:line="240" w:lineRule="auto"/>
              <w:rPr>
                <w:rFonts w:ascii="inherit" w:eastAsia="Times New Roman" w:hAnsi="inherit" w:cs="Arial"/>
                <w:b/>
                <w:bCs/>
                <w:color w:val="555555"/>
                <w:sz w:val="26"/>
                <w:szCs w:val="26"/>
              </w:rPr>
            </w:pPr>
            <w:r w:rsidRPr="00011AC8">
              <w:rPr>
                <w:rFonts w:ascii="inherit" w:eastAsia="Times New Roman" w:hAnsi="inherit" w:cs="Arial"/>
                <w:b/>
                <w:bCs/>
                <w:color w:val="555555"/>
                <w:sz w:val="26"/>
                <w:szCs w:val="26"/>
              </w:rPr>
              <w:t>Rate</w:t>
            </w:r>
          </w:p>
        </w:tc>
        <w:tc>
          <w:tcPr>
            <w:tcW w:w="0" w:type="auto"/>
            <w:tcBorders>
              <w:top w:val="single" w:sz="6" w:space="0" w:color="CCCCCC"/>
              <w:left w:val="single" w:sz="6" w:space="0" w:color="CCCCCC"/>
              <w:bottom w:val="single" w:sz="6" w:space="0" w:color="CCCCCC"/>
              <w:right w:val="single" w:sz="6" w:space="0" w:color="CCCCCC"/>
            </w:tcBorders>
            <w:shd w:val="clear" w:color="auto" w:fill="FEFEFE"/>
            <w:vAlign w:val="center"/>
            <w:hideMark/>
          </w:tcPr>
          <w:p w14:paraId="73807017" w14:textId="77777777" w:rsidR="00011AC8" w:rsidRPr="00011AC8" w:rsidRDefault="00011AC8" w:rsidP="00011AC8">
            <w:pPr>
              <w:spacing w:after="0" w:line="240" w:lineRule="auto"/>
              <w:rPr>
                <w:rFonts w:ascii="inherit" w:eastAsia="Times New Roman" w:hAnsi="inherit" w:cs="Arial"/>
                <w:b/>
                <w:bCs/>
                <w:color w:val="555555"/>
                <w:sz w:val="26"/>
                <w:szCs w:val="26"/>
              </w:rPr>
            </w:pPr>
            <w:r w:rsidRPr="00011AC8">
              <w:rPr>
                <w:rFonts w:ascii="inherit" w:eastAsia="Times New Roman" w:hAnsi="inherit" w:cs="Arial"/>
                <w:b/>
                <w:bCs/>
                <w:color w:val="555555"/>
                <w:sz w:val="26"/>
                <w:szCs w:val="26"/>
              </w:rPr>
              <w:t>For Unmarried Individuals, Taxable Income Over</w:t>
            </w:r>
          </w:p>
        </w:tc>
        <w:tc>
          <w:tcPr>
            <w:tcW w:w="0" w:type="auto"/>
            <w:tcBorders>
              <w:top w:val="single" w:sz="6" w:space="0" w:color="CCCCCC"/>
              <w:left w:val="single" w:sz="6" w:space="0" w:color="CCCCCC"/>
              <w:bottom w:val="single" w:sz="6" w:space="0" w:color="CCCCCC"/>
              <w:right w:val="single" w:sz="6" w:space="0" w:color="CCCCCC"/>
            </w:tcBorders>
            <w:shd w:val="clear" w:color="auto" w:fill="FEFEFE"/>
            <w:vAlign w:val="center"/>
            <w:hideMark/>
          </w:tcPr>
          <w:p w14:paraId="215911C7" w14:textId="77777777" w:rsidR="00011AC8" w:rsidRPr="00011AC8" w:rsidRDefault="00011AC8" w:rsidP="00011AC8">
            <w:pPr>
              <w:spacing w:after="0" w:line="240" w:lineRule="auto"/>
              <w:rPr>
                <w:rFonts w:ascii="inherit" w:eastAsia="Times New Roman" w:hAnsi="inherit" w:cs="Arial"/>
                <w:b/>
                <w:bCs/>
                <w:color w:val="555555"/>
                <w:sz w:val="26"/>
                <w:szCs w:val="26"/>
              </w:rPr>
            </w:pPr>
            <w:r w:rsidRPr="00011AC8">
              <w:rPr>
                <w:rFonts w:ascii="inherit" w:eastAsia="Times New Roman" w:hAnsi="inherit" w:cs="Arial"/>
                <w:b/>
                <w:bCs/>
                <w:color w:val="555555"/>
                <w:sz w:val="26"/>
                <w:szCs w:val="26"/>
              </w:rPr>
              <w:t>For Married Individuals Filing Joint Returns, Taxable Income Over</w:t>
            </w:r>
          </w:p>
        </w:tc>
        <w:tc>
          <w:tcPr>
            <w:tcW w:w="0" w:type="auto"/>
            <w:tcBorders>
              <w:top w:val="single" w:sz="6" w:space="0" w:color="CCCCCC"/>
              <w:left w:val="single" w:sz="6" w:space="0" w:color="CCCCCC"/>
              <w:bottom w:val="single" w:sz="6" w:space="0" w:color="CCCCCC"/>
              <w:right w:val="single" w:sz="6" w:space="0" w:color="CCCCCC"/>
            </w:tcBorders>
            <w:shd w:val="clear" w:color="auto" w:fill="FEFEFE"/>
            <w:vAlign w:val="center"/>
            <w:hideMark/>
          </w:tcPr>
          <w:p w14:paraId="710BB6AA" w14:textId="77777777" w:rsidR="00011AC8" w:rsidRPr="00011AC8" w:rsidRDefault="00011AC8" w:rsidP="00011AC8">
            <w:pPr>
              <w:spacing w:after="0" w:line="240" w:lineRule="auto"/>
              <w:rPr>
                <w:rFonts w:ascii="inherit" w:eastAsia="Times New Roman" w:hAnsi="inherit" w:cs="Arial"/>
                <w:b/>
                <w:bCs/>
                <w:color w:val="555555"/>
                <w:sz w:val="26"/>
                <w:szCs w:val="26"/>
              </w:rPr>
            </w:pPr>
            <w:r w:rsidRPr="00011AC8">
              <w:rPr>
                <w:rFonts w:ascii="inherit" w:eastAsia="Times New Roman" w:hAnsi="inherit" w:cs="Arial"/>
                <w:b/>
                <w:bCs/>
                <w:color w:val="555555"/>
                <w:sz w:val="26"/>
                <w:szCs w:val="26"/>
              </w:rPr>
              <w:t>For Heads of Households, Taxable Income Over</w:t>
            </w:r>
          </w:p>
        </w:tc>
      </w:tr>
      <w:tr w:rsidR="00011AC8" w:rsidRPr="0022443F" w14:paraId="210C2420" w14:textId="77777777" w:rsidTr="00011AC8">
        <w:tc>
          <w:tcPr>
            <w:tcW w:w="0" w:type="auto"/>
            <w:tcBorders>
              <w:top w:val="single" w:sz="6" w:space="0" w:color="CCCCCC"/>
              <w:left w:val="single" w:sz="6" w:space="0" w:color="CCCCCC"/>
              <w:bottom w:val="single" w:sz="6" w:space="0" w:color="CCCCCC"/>
              <w:right w:val="single" w:sz="6" w:space="0" w:color="CCCCCC"/>
            </w:tcBorders>
            <w:shd w:val="clear" w:color="auto" w:fill="F2F2F2"/>
            <w:vAlign w:val="bottom"/>
            <w:hideMark/>
          </w:tcPr>
          <w:p w14:paraId="5B47DD03"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bottom"/>
            <w:hideMark/>
          </w:tcPr>
          <w:p w14:paraId="6EF6ABBB"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$0</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bottom"/>
            <w:hideMark/>
          </w:tcPr>
          <w:p w14:paraId="08271781"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$0</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bottom"/>
            <w:hideMark/>
          </w:tcPr>
          <w:p w14:paraId="5EBD58FF"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$0</w:t>
            </w:r>
          </w:p>
        </w:tc>
      </w:tr>
      <w:tr w:rsidR="00011AC8" w:rsidRPr="0022443F" w14:paraId="640BD66D" w14:textId="77777777" w:rsidTr="00011AC8">
        <w:tc>
          <w:tcPr>
            <w:tcW w:w="0" w:type="auto"/>
            <w:tcBorders>
              <w:top w:val="single" w:sz="6" w:space="0" w:color="CCCCCC"/>
              <w:left w:val="single" w:sz="6" w:space="0" w:color="CCCCCC"/>
              <w:bottom w:val="single" w:sz="6" w:space="0" w:color="CCCCCC"/>
              <w:right w:val="single" w:sz="6" w:space="0" w:color="CCCCCC"/>
            </w:tcBorders>
            <w:shd w:val="clear" w:color="auto" w:fill="FEFEFE"/>
            <w:vAlign w:val="bottom"/>
            <w:hideMark/>
          </w:tcPr>
          <w:p w14:paraId="69D2B245"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EFEFE"/>
            <w:vAlign w:val="bottom"/>
            <w:hideMark/>
          </w:tcPr>
          <w:p w14:paraId="530DE851"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$9,700</w:t>
            </w:r>
          </w:p>
        </w:tc>
        <w:tc>
          <w:tcPr>
            <w:tcW w:w="0" w:type="auto"/>
            <w:tcBorders>
              <w:top w:val="single" w:sz="6" w:space="0" w:color="CCCCCC"/>
              <w:left w:val="single" w:sz="6" w:space="0" w:color="CCCCCC"/>
              <w:bottom w:val="single" w:sz="6" w:space="0" w:color="CCCCCC"/>
              <w:right w:val="single" w:sz="6" w:space="0" w:color="CCCCCC"/>
            </w:tcBorders>
            <w:shd w:val="clear" w:color="auto" w:fill="FEFEFE"/>
            <w:vAlign w:val="bottom"/>
            <w:hideMark/>
          </w:tcPr>
          <w:p w14:paraId="579650CD"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$19,400</w:t>
            </w:r>
          </w:p>
        </w:tc>
        <w:tc>
          <w:tcPr>
            <w:tcW w:w="0" w:type="auto"/>
            <w:tcBorders>
              <w:top w:val="single" w:sz="6" w:space="0" w:color="CCCCCC"/>
              <w:left w:val="single" w:sz="6" w:space="0" w:color="CCCCCC"/>
              <w:bottom w:val="single" w:sz="6" w:space="0" w:color="CCCCCC"/>
              <w:right w:val="single" w:sz="6" w:space="0" w:color="CCCCCC"/>
            </w:tcBorders>
            <w:shd w:val="clear" w:color="auto" w:fill="FEFEFE"/>
            <w:vAlign w:val="bottom"/>
            <w:hideMark/>
          </w:tcPr>
          <w:p w14:paraId="3CA6BF76"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$13,850</w:t>
            </w:r>
          </w:p>
        </w:tc>
      </w:tr>
      <w:tr w:rsidR="00011AC8" w:rsidRPr="0022443F" w14:paraId="1611DE25" w14:textId="77777777" w:rsidTr="00011AC8">
        <w:tc>
          <w:tcPr>
            <w:tcW w:w="0" w:type="auto"/>
            <w:tcBorders>
              <w:top w:val="single" w:sz="6" w:space="0" w:color="CCCCCC"/>
              <w:left w:val="single" w:sz="6" w:space="0" w:color="CCCCCC"/>
              <w:bottom w:val="single" w:sz="6" w:space="0" w:color="CCCCCC"/>
              <w:right w:val="single" w:sz="6" w:space="0" w:color="CCCCCC"/>
            </w:tcBorders>
            <w:shd w:val="clear" w:color="auto" w:fill="F2F2F2"/>
            <w:vAlign w:val="bottom"/>
            <w:hideMark/>
          </w:tcPr>
          <w:p w14:paraId="352DF528"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bottom"/>
            <w:hideMark/>
          </w:tcPr>
          <w:p w14:paraId="3F22C60A"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$39,475</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bottom"/>
            <w:hideMark/>
          </w:tcPr>
          <w:p w14:paraId="3414448D"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$78,950</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bottom"/>
            <w:hideMark/>
          </w:tcPr>
          <w:p w14:paraId="0896A3AD"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$52,850</w:t>
            </w:r>
          </w:p>
        </w:tc>
      </w:tr>
      <w:tr w:rsidR="00011AC8" w:rsidRPr="0022443F" w14:paraId="0FC50955" w14:textId="77777777" w:rsidTr="00011AC8">
        <w:tc>
          <w:tcPr>
            <w:tcW w:w="0" w:type="auto"/>
            <w:tcBorders>
              <w:top w:val="single" w:sz="6" w:space="0" w:color="CCCCCC"/>
              <w:left w:val="single" w:sz="6" w:space="0" w:color="CCCCCC"/>
              <w:bottom w:val="single" w:sz="6" w:space="0" w:color="CCCCCC"/>
              <w:right w:val="single" w:sz="6" w:space="0" w:color="CCCCCC"/>
            </w:tcBorders>
            <w:shd w:val="clear" w:color="auto" w:fill="FEFEFE"/>
            <w:vAlign w:val="bottom"/>
            <w:hideMark/>
          </w:tcPr>
          <w:p w14:paraId="4683F10E"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EFEFE"/>
            <w:vAlign w:val="bottom"/>
            <w:hideMark/>
          </w:tcPr>
          <w:p w14:paraId="4EC38817"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$84,200</w:t>
            </w:r>
          </w:p>
        </w:tc>
        <w:tc>
          <w:tcPr>
            <w:tcW w:w="0" w:type="auto"/>
            <w:tcBorders>
              <w:top w:val="single" w:sz="6" w:space="0" w:color="CCCCCC"/>
              <w:left w:val="single" w:sz="6" w:space="0" w:color="CCCCCC"/>
              <w:bottom w:val="single" w:sz="6" w:space="0" w:color="CCCCCC"/>
              <w:right w:val="single" w:sz="6" w:space="0" w:color="CCCCCC"/>
            </w:tcBorders>
            <w:shd w:val="clear" w:color="auto" w:fill="FEFEFE"/>
            <w:vAlign w:val="bottom"/>
            <w:hideMark/>
          </w:tcPr>
          <w:p w14:paraId="3E48CAAC"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$168,400</w:t>
            </w:r>
          </w:p>
        </w:tc>
        <w:tc>
          <w:tcPr>
            <w:tcW w:w="0" w:type="auto"/>
            <w:tcBorders>
              <w:top w:val="single" w:sz="6" w:space="0" w:color="CCCCCC"/>
              <w:left w:val="single" w:sz="6" w:space="0" w:color="CCCCCC"/>
              <w:bottom w:val="single" w:sz="6" w:space="0" w:color="CCCCCC"/>
              <w:right w:val="single" w:sz="6" w:space="0" w:color="CCCCCC"/>
            </w:tcBorders>
            <w:shd w:val="clear" w:color="auto" w:fill="FEFEFE"/>
            <w:vAlign w:val="bottom"/>
            <w:hideMark/>
          </w:tcPr>
          <w:p w14:paraId="09940D0B"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$84,200</w:t>
            </w:r>
          </w:p>
        </w:tc>
      </w:tr>
      <w:tr w:rsidR="00011AC8" w:rsidRPr="0022443F" w14:paraId="76E10883" w14:textId="77777777" w:rsidTr="00011AC8">
        <w:tc>
          <w:tcPr>
            <w:tcW w:w="0" w:type="auto"/>
            <w:tcBorders>
              <w:top w:val="single" w:sz="6" w:space="0" w:color="CCCCCC"/>
              <w:left w:val="single" w:sz="6" w:space="0" w:color="CCCCCC"/>
              <w:bottom w:val="single" w:sz="6" w:space="0" w:color="CCCCCC"/>
              <w:right w:val="single" w:sz="6" w:space="0" w:color="CCCCCC"/>
            </w:tcBorders>
            <w:shd w:val="clear" w:color="auto" w:fill="F2F2F2"/>
            <w:vAlign w:val="bottom"/>
            <w:hideMark/>
          </w:tcPr>
          <w:p w14:paraId="1503CD69"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32%</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bottom"/>
            <w:hideMark/>
          </w:tcPr>
          <w:p w14:paraId="4DEBEC37"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$160,725</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bottom"/>
            <w:hideMark/>
          </w:tcPr>
          <w:p w14:paraId="6ED1E739"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$321,450</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bottom"/>
            <w:hideMark/>
          </w:tcPr>
          <w:p w14:paraId="05A06F78"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$160,700</w:t>
            </w:r>
          </w:p>
        </w:tc>
      </w:tr>
      <w:tr w:rsidR="00011AC8" w:rsidRPr="0022443F" w14:paraId="75C6919F" w14:textId="77777777" w:rsidTr="00011AC8">
        <w:tc>
          <w:tcPr>
            <w:tcW w:w="0" w:type="auto"/>
            <w:tcBorders>
              <w:top w:val="single" w:sz="6" w:space="0" w:color="CCCCCC"/>
              <w:left w:val="single" w:sz="6" w:space="0" w:color="CCCCCC"/>
              <w:bottom w:val="single" w:sz="6" w:space="0" w:color="CCCCCC"/>
              <w:right w:val="single" w:sz="6" w:space="0" w:color="CCCCCC"/>
            </w:tcBorders>
            <w:shd w:val="clear" w:color="auto" w:fill="FEFEFE"/>
            <w:vAlign w:val="bottom"/>
            <w:hideMark/>
          </w:tcPr>
          <w:p w14:paraId="32107317"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EFEFE"/>
            <w:vAlign w:val="bottom"/>
            <w:hideMark/>
          </w:tcPr>
          <w:p w14:paraId="3C1C099B"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$204,100</w:t>
            </w:r>
          </w:p>
        </w:tc>
        <w:tc>
          <w:tcPr>
            <w:tcW w:w="0" w:type="auto"/>
            <w:tcBorders>
              <w:top w:val="single" w:sz="6" w:space="0" w:color="CCCCCC"/>
              <w:left w:val="single" w:sz="6" w:space="0" w:color="CCCCCC"/>
              <w:bottom w:val="single" w:sz="6" w:space="0" w:color="CCCCCC"/>
              <w:right w:val="single" w:sz="6" w:space="0" w:color="CCCCCC"/>
            </w:tcBorders>
            <w:shd w:val="clear" w:color="auto" w:fill="FEFEFE"/>
            <w:vAlign w:val="bottom"/>
            <w:hideMark/>
          </w:tcPr>
          <w:p w14:paraId="1AA94764"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$408,200</w:t>
            </w:r>
          </w:p>
        </w:tc>
        <w:tc>
          <w:tcPr>
            <w:tcW w:w="0" w:type="auto"/>
            <w:tcBorders>
              <w:top w:val="single" w:sz="6" w:space="0" w:color="CCCCCC"/>
              <w:left w:val="single" w:sz="6" w:space="0" w:color="CCCCCC"/>
              <w:bottom w:val="single" w:sz="6" w:space="0" w:color="CCCCCC"/>
              <w:right w:val="single" w:sz="6" w:space="0" w:color="CCCCCC"/>
            </w:tcBorders>
            <w:shd w:val="clear" w:color="auto" w:fill="FEFEFE"/>
            <w:vAlign w:val="bottom"/>
            <w:hideMark/>
          </w:tcPr>
          <w:p w14:paraId="6B249720"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$204,100</w:t>
            </w:r>
          </w:p>
        </w:tc>
      </w:tr>
      <w:tr w:rsidR="00011AC8" w:rsidRPr="0022443F" w14:paraId="7B2070F2" w14:textId="77777777" w:rsidTr="00011AC8">
        <w:tc>
          <w:tcPr>
            <w:tcW w:w="0" w:type="auto"/>
            <w:tcBorders>
              <w:top w:val="single" w:sz="6" w:space="0" w:color="CCCCCC"/>
              <w:left w:val="single" w:sz="6" w:space="0" w:color="CCCCCC"/>
              <w:bottom w:val="single" w:sz="6" w:space="0" w:color="CCCCCC"/>
              <w:right w:val="single" w:sz="6" w:space="0" w:color="CCCCCC"/>
            </w:tcBorders>
            <w:shd w:val="clear" w:color="auto" w:fill="F2F2F2"/>
            <w:vAlign w:val="bottom"/>
            <w:hideMark/>
          </w:tcPr>
          <w:p w14:paraId="5DCD6949"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37%</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bottom"/>
            <w:hideMark/>
          </w:tcPr>
          <w:p w14:paraId="2C4CFE59"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$510,300</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bottom"/>
            <w:hideMark/>
          </w:tcPr>
          <w:p w14:paraId="20C6543B"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$612,350</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bottom"/>
            <w:hideMark/>
          </w:tcPr>
          <w:p w14:paraId="739A223D" w14:textId="77777777" w:rsidR="00011AC8" w:rsidRPr="0022443F" w:rsidRDefault="00011AC8" w:rsidP="00011AC8">
            <w:pPr>
              <w:spacing w:after="0" w:line="240" w:lineRule="auto"/>
              <w:rPr>
                <w:rFonts w:ascii="Arial Rounded MT Bold" w:eastAsia="Times New Roman" w:hAnsi="Arial Rounded MT Bold" w:cs="Courier New"/>
                <w:b/>
                <w:color w:val="555555"/>
                <w:sz w:val="26"/>
                <w:szCs w:val="26"/>
              </w:rPr>
            </w:pPr>
            <w:r w:rsidRPr="0022443F">
              <w:rPr>
                <w:rFonts w:ascii="Arial Rounded MT Bold" w:eastAsia="Times New Roman" w:hAnsi="Arial Rounded MT Bold" w:cs="Courier New"/>
                <w:b/>
                <w:color w:val="555555"/>
                <w:sz w:val="26"/>
                <w:szCs w:val="26"/>
              </w:rPr>
              <w:t>$510,300</w:t>
            </w:r>
          </w:p>
        </w:tc>
      </w:tr>
      <w:tr w:rsidR="00011AC8" w:rsidRPr="0022443F" w14:paraId="7CC96289" w14:textId="77777777" w:rsidTr="00011AC8">
        <w:trPr>
          <w:tblHeader/>
        </w:trPr>
        <w:tc>
          <w:tcPr>
            <w:tcW w:w="0" w:type="auto"/>
            <w:gridSpan w:val="4"/>
            <w:tcBorders>
              <w:top w:val="nil"/>
              <w:left w:val="nil"/>
              <w:bottom w:val="nil"/>
              <w:right w:val="nil"/>
            </w:tcBorders>
            <w:shd w:val="clear" w:color="auto" w:fill="FEFEFE"/>
            <w:vAlign w:val="center"/>
            <w:hideMark/>
          </w:tcPr>
          <w:p w14:paraId="2699FE9C" w14:textId="77777777" w:rsidR="00011AC8" w:rsidRPr="0022443F" w:rsidRDefault="00011AC8" w:rsidP="00011AC8">
            <w:pPr>
              <w:spacing w:after="0" w:line="240" w:lineRule="auto"/>
              <w:textAlignment w:val="baseline"/>
              <w:rPr>
                <w:rFonts w:ascii="inherit" w:eastAsia="Times New Roman" w:hAnsi="inherit" w:cs="Arial"/>
                <w:bCs/>
                <w:color w:val="555555"/>
                <w:sz w:val="26"/>
                <w:szCs w:val="26"/>
              </w:rPr>
            </w:pPr>
          </w:p>
        </w:tc>
      </w:tr>
    </w:tbl>
    <w:p w14:paraId="54D626FE" w14:textId="5CC09023" w:rsidR="00011AC8" w:rsidRDefault="00011AC8" w:rsidP="00011AC8">
      <w:pPr>
        <w:jc w:val="center"/>
      </w:pPr>
    </w:p>
    <w:p w14:paraId="62667810" w14:textId="1018E67E" w:rsidR="00053B8A" w:rsidRDefault="00053B8A" w:rsidP="00011AC8">
      <w:pPr>
        <w:jc w:val="center"/>
      </w:pPr>
    </w:p>
    <w:p w14:paraId="264F19BC" w14:textId="1D29B1C2" w:rsidR="00053B8A" w:rsidRPr="0022443F" w:rsidRDefault="00053B8A" w:rsidP="00011AC8">
      <w:pPr>
        <w:jc w:val="center"/>
      </w:pPr>
      <w:r>
        <w:t>The content is developed from sources believe to be providing accurate information. The information in this material is not intended as tax or legal advice. Please consult legal or tax professionals for specific information regarding your individual situation.</w:t>
      </w:r>
    </w:p>
    <w:sectPr w:rsidR="00053B8A" w:rsidRPr="00224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93CB7"/>
    <w:multiLevelType w:val="hybridMultilevel"/>
    <w:tmpl w:val="3C3E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B7D14"/>
    <w:multiLevelType w:val="hybridMultilevel"/>
    <w:tmpl w:val="7B32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C8"/>
    <w:rsid w:val="00011AC8"/>
    <w:rsid w:val="00053B8A"/>
    <w:rsid w:val="0022443F"/>
    <w:rsid w:val="0023228C"/>
    <w:rsid w:val="008F4415"/>
    <w:rsid w:val="00B47BE9"/>
    <w:rsid w:val="00C1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381C"/>
  <w15:chartTrackingRefBased/>
  <w15:docId w15:val="{33AAB406-C05A-4E52-ADBC-680DD62D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AC8"/>
    <w:rPr>
      <w:color w:val="0563C1" w:themeColor="hyperlink"/>
      <w:u w:val="single"/>
    </w:rPr>
  </w:style>
  <w:style w:type="paragraph" w:styleId="ListParagraph">
    <w:name w:val="List Paragraph"/>
    <w:basedOn w:val="Normal"/>
    <w:uiPriority w:val="34"/>
    <w:qFormat/>
    <w:rsid w:val="00011AC8"/>
    <w:pPr>
      <w:ind w:left="720"/>
      <w:contextualSpacing/>
    </w:pPr>
  </w:style>
  <w:style w:type="paragraph" w:styleId="BalloonText">
    <w:name w:val="Balloon Text"/>
    <w:basedOn w:val="Normal"/>
    <w:link w:val="BalloonTextChar"/>
    <w:uiPriority w:val="99"/>
    <w:semiHidden/>
    <w:unhideWhenUsed/>
    <w:rsid w:val="00B47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7442">
      <w:bodyDiv w:val="1"/>
      <w:marLeft w:val="0"/>
      <w:marRight w:val="0"/>
      <w:marTop w:val="0"/>
      <w:marBottom w:val="0"/>
      <w:divBdr>
        <w:top w:val="none" w:sz="0" w:space="0" w:color="auto"/>
        <w:left w:val="none" w:sz="0" w:space="0" w:color="auto"/>
        <w:bottom w:val="none" w:sz="0" w:space="0" w:color="auto"/>
        <w:right w:val="none" w:sz="0" w:space="0" w:color="auto"/>
      </w:divBdr>
    </w:div>
    <w:div w:id="29919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Kolar</dc:creator>
  <cp:keywords/>
  <dc:description/>
  <cp:lastModifiedBy>Samantha Blaine2</cp:lastModifiedBy>
  <cp:revision>4</cp:revision>
  <cp:lastPrinted>2019-04-30T15:47:00Z</cp:lastPrinted>
  <dcterms:created xsi:type="dcterms:W3CDTF">2019-04-22T17:14:00Z</dcterms:created>
  <dcterms:modified xsi:type="dcterms:W3CDTF">2019-10-21T16:41:00Z</dcterms:modified>
</cp:coreProperties>
</file>